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71" w:lineRule="exact"/>
        <w:ind w:left="100"/>
      </w:pPr>
      <w:r>
        <w:rPr/>
        <w:t>第三版 109.01</w:t>
      </w:r>
    </w:p>
    <w:p>
      <w:pPr>
        <w:pStyle w:val="BodyText"/>
        <w:ind w:left="92"/>
      </w:pPr>
      <w:r>
        <w:rPr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.35pt;height:24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478" w:lineRule="exact" w:before="0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附件一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Title"/>
        <w:rPr>
          <w:b w:val="0"/>
        </w:rPr>
      </w:pPr>
      <w:r>
        <w:rPr>
          <w:b w:val="0"/>
        </w:rPr>
        <w:t>嘉義縣輔具資源中心</w:t>
      </w:r>
    </w:p>
    <w:p>
      <w:pPr>
        <w:spacing w:before="165"/>
        <w:ind w:left="84" w:right="3893" w:firstLine="0"/>
        <w:jc w:val="center"/>
        <w:rPr>
          <w:rFonts w:ascii="WenQuanYi Zen Hei Mono" w:eastAsia="WenQuanYi Zen Hei Mono" w:hint="eastAsia"/>
          <w:b w:val="0"/>
          <w:sz w:val="28"/>
        </w:rPr>
      </w:pPr>
      <w:r>
        <w:rPr>
          <w:rFonts w:ascii="WenQuanYi Zen Hei Mono" w:eastAsia="WenQuanYi Zen Hei Mono" w:hint="eastAsia"/>
          <w:b w:val="0"/>
          <w:sz w:val="28"/>
        </w:rPr>
        <w:t>申訴表</w:t>
      </w:r>
    </w:p>
    <w:p>
      <w:pPr>
        <w:spacing w:after="0"/>
        <w:jc w:val="center"/>
        <w:rPr>
          <w:rFonts w:ascii="WenQuanYi Zen Hei Mono" w:eastAsia="WenQuanYi Zen Hei Mono" w:hint="eastAsia"/>
          <w:sz w:val="28"/>
        </w:rPr>
        <w:sectPr>
          <w:type w:val="continuous"/>
          <w:pgSz w:w="11910" w:h="16840"/>
          <w:pgMar w:top="780" w:bottom="280" w:left="620" w:right="600"/>
          <w:cols w:num="2" w:equalWidth="0">
            <w:col w:w="1451" w:space="2342"/>
            <w:col w:w="6897"/>
          </w:cols>
        </w:sectPr>
      </w:pPr>
    </w:p>
    <w:p>
      <w:pPr>
        <w:pStyle w:val="Heading1"/>
        <w:spacing w:before="31"/>
      </w:pPr>
      <w:r>
        <w:rPr/>
        <w:t>申訴日期：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4"/>
        <w:gridCol w:w="2614"/>
        <w:gridCol w:w="2616"/>
        <w:gridCol w:w="2613"/>
      </w:tblGrid>
      <w:tr>
        <w:trPr>
          <w:trHeight w:val="568" w:hRule="atLeast"/>
        </w:trPr>
        <w:tc>
          <w:tcPr>
            <w:tcW w:w="10457" w:type="dxa"/>
            <w:gridSpan w:val="4"/>
            <w:shd w:val="clear" w:color="auto" w:fill="D0CECE"/>
          </w:tcPr>
          <w:p>
            <w:pPr>
              <w:pStyle w:val="TableParagraph"/>
              <w:spacing w:before="35"/>
              <w:ind w:left="4369" w:right="4358"/>
              <w:jc w:val="center"/>
              <w:rPr>
                <w:rFonts w:ascii="WenQuanYi Zen Hei Mono" w:eastAsia="WenQuanYi Zen Hei Mono" w:hint="eastAsia"/>
                <w:b w:val="0"/>
                <w:sz w:val="24"/>
              </w:rPr>
            </w:pPr>
            <w:r>
              <w:rPr>
                <w:rFonts w:ascii="WenQuanYi Zen Hei Mono" w:eastAsia="WenQuanYi Zen Hei Mono" w:hint="eastAsia"/>
                <w:b w:val="0"/>
                <w:sz w:val="24"/>
              </w:rPr>
              <w:t>申訴人基本資料</w:t>
            </w:r>
          </w:p>
        </w:tc>
      </w:tr>
      <w:tr>
        <w:trPr>
          <w:trHeight w:val="678" w:hRule="atLeast"/>
        </w:trPr>
        <w:tc>
          <w:tcPr>
            <w:tcW w:w="2614" w:type="dxa"/>
          </w:tcPr>
          <w:p>
            <w:pPr>
              <w:pStyle w:val="TableParagraph"/>
              <w:spacing w:before="35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6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left="683" w:right="680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2614" w:type="dxa"/>
          </w:tcPr>
          <w:p>
            <w:pPr>
              <w:pStyle w:val="TableParagraph"/>
              <w:spacing w:before="38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6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8"/>
              <w:ind w:left="683" w:right="680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0457" w:type="dxa"/>
            <w:gridSpan w:val="4"/>
            <w:shd w:val="clear" w:color="auto" w:fill="D0CECE"/>
          </w:tcPr>
          <w:p>
            <w:pPr>
              <w:pStyle w:val="TableParagraph"/>
              <w:spacing w:before="33"/>
              <w:ind w:left="4367" w:right="4358"/>
              <w:jc w:val="center"/>
              <w:rPr>
                <w:rFonts w:ascii="WenQuanYi Zen Hei Mono" w:eastAsia="WenQuanYi Zen Hei Mono" w:hint="eastAsia"/>
                <w:b w:val="0"/>
                <w:sz w:val="24"/>
              </w:rPr>
            </w:pPr>
            <w:r>
              <w:rPr>
                <w:rFonts w:ascii="WenQuanYi Zen Hei Mono" w:eastAsia="WenQuanYi Zen Hei Mono" w:hint="eastAsia"/>
                <w:b w:val="0"/>
                <w:sz w:val="24"/>
              </w:rPr>
              <w:t>申訴內容</w:t>
            </w:r>
          </w:p>
        </w:tc>
      </w:tr>
      <w:tr>
        <w:trPr>
          <w:trHeight w:val="681" w:hRule="atLeast"/>
        </w:trPr>
        <w:tc>
          <w:tcPr>
            <w:tcW w:w="2614" w:type="dxa"/>
          </w:tcPr>
          <w:p>
            <w:pPr>
              <w:pStyle w:val="TableParagraph"/>
              <w:spacing w:before="38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此次接受之服務項目</w:t>
            </w:r>
          </w:p>
        </w:tc>
        <w:tc>
          <w:tcPr>
            <w:tcW w:w="7843" w:type="dxa"/>
            <w:gridSpan w:val="3"/>
          </w:tcPr>
          <w:p>
            <w:pPr>
              <w:pStyle w:val="TableParagraph"/>
              <w:tabs>
                <w:tab w:pos="6644" w:val="left" w:leader="none"/>
              </w:tabs>
              <w:spacing w:before="38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□評估 □租借 □維修 □回收 □諮詢 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311" w:hRule="atLeast"/>
        </w:trPr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"/>
              <w:rPr>
                <w:sz w:val="15"/>
              </w:rPr>
            </w:pPr>
          </w:p>
          <w:p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申訴內容</w:t>
            </w:r>
          </w:p>
        </w:tc>
        <w:tc>
          <w:tcPr>
            <w:tcW w:w="784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2614" w:type="dxa"/>
          </w:tcPr>
          <w:p>
            <w:pPr>
              <w:pStyle w:val="TableParagraph"/>
              <w:spacing w:before="38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承辦人</w:t>
            </w:r>
          </w:p>
        </w:tc>
        <w:tc>
          <w:tcPr>
            <w:tcW w:w="784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0457" w:type="dxa"/>
            <w:gridSpan w:val="4"/>
            <w:shd w:val="clear" w:color="auto" w:fill="D0CECE"/>
          </w:tcPr>
          <w:p>
            <w:pPr>
              <w:pStyle w:val="TableParagraph"/>
              <w:spacing w:before="35"/>
              <w:ind w:left="4367" w:right="4358"/>
              <w:jc w:val="center"/>
              <w:rPr>
                <w:rFonts w:ascii="WenQuanYi Zen Hei Mono" w:eastAsia="WenQuanYi Zen Hei Mono" w:hint="eastAsia"/>
                <w:b w:val="0"/>
                <w:sz w:val="24"/>
              </w:rPr>
            </w:pPr>
            <w:r>
              <w:rPr>
                <w:rFonts w:ascii="WenQuanYi Zen Hei Mono" w:eastAsia="WenQuanYi Zen Hei Mono" w:hint="eastAsia"/>
                <w:b w:val="0"/>
                <w:sz w:val="24"/>
              </w:rPr>
              <w:t>後續處理</w:t>
            </w:r>
          </w:p>
        </w:tc>
      </w:tr>
      <w:tr>
        <w:trPr>
          <w:trHeight w:val="3312" w:hRule="atLeast"/>
        </w:trPr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"/>
              <w:rPr>
                <w:sz w:val="15"/>
              </w:rPr>
            </w:pPr>
          </w:p>
          <w:p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回覆內容</w:t>
            </w:r>
          </w:p>
        </w:tc>
        <w:tc>
          <w:tcPr>
            <w:tcW w:w="784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2614" w:type="dxa"/>
          </w:tcPr>
          <w:p>
            <w:pPr>
              <w:pStyle w:val="TableParagraph"/>
              <w:spacing w:before="38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回覆人</w:t>
            </w:r>
          </w:p>
        </w:tc>
        <w:tc>
          <w:tcPr>
            <w:tcW w:w="261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8"/>
              <w:ind w:left="683" w:right="680"/>
              <w:jc w:val="center"/>
              <w:rPr>
                <w:sz w:val="24"/>
              </w:rPr>
            </w:pPr>
            <w:r>
              <w:rPr>
                <w:sz w:val="24"/>
              </w:rPr>
              <w:t>回覆日期</w:t>
            </w:r>
          </w:p>
        </w:tc>
        <w:tc>
          <w:tcPr>
            <w:tcW w:w="26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26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402" w:lineRule="exact" w:before="36"/>
              <w:ind w:left="690" w:right="683"/>
              <w:jc w:val="center"/>
              <w:rPr>
                <w:sz w:val="24"/>
              </w:rPr>
            </w:pPr>
            <w:r>
              <w:rPr>
                <w:sz w:val="24"/>
              </w:rPr>
              <w:t>承辦人員：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402" w:lineRule="exact" w:before="36"/>
              <w:ind w:left="691" w:right="685"/>
              <w:jc w:val="center"/>
              <w:rPr>
                <w:sz w:val="24"/>
              </w:rPr>
            </w:pPr>
            <w:r>
              <w:rPr>
                <w:sz w:val="24"/>
              </w:rPr>
              <w:t>單位主管：</w:t>
            </w: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7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Bold">
    <w:altName w:val="Noto Sans Mono CJK JP Bold"/>
    <w:charset w:val="0"/>
    <w:family w:val="swiss"/>
    <w:pitch w:val="variable"/>
  </w:font>
  <w:font w:name="WenQuanYi Zen Hei Mono">
    <w:altName w:val="WenQuanYi Zen Hei Mon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Bold" w:hAnsi="Noto Sans Mono CJK JP Bold" w:eastAsia="Noto Sans Mono CJK JP Bold" w:cs="Noto Sans Mono CJK JP Bold"/>
      <w:sz w:val="20"/>
      <w:szCs w:val="20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Noto Sans Mono CJK JP Bold" w:hAnsi="Noto Sans Mono CJK JP Bold" w:eastAsia="Noto Sans Mono CJK JP Bold" w:cs="Noto Sans Mono CJK JP Bold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84" w:right="3893"/>
      <w:jc w:val="center"/>
    </w:pPr>
    <w:rPr>
      <w:rFonts w:ascii="WenQuanYi Zen Hei Mono" w:hAnsi="WenQuanYi Zen Hei Mono" w:eastAsia="WenQuanYi Zen Hei Mono" w:cs="WenQuanYi Zen Hei Mono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</dc:creator>
  <dc:title>第一版 106.10.25</dc:title>
  <dcterms:created xsi:type="dcterms:W3CDTF">2020-03-01T15:15:07Z</dcterms:created>
  <dcterms:modified xsi:type="dcterms:W3CDTF">2020-03-01T15:15:07Z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2020-03-01T00:00:00Z</vt:filetime>
  </property>
</Properties>
</file>